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72" w:type="dxa"/>
        <w:tblLayout w:type="fixed"/>
        <w:tblLook w:val="04A0"/>
      </w:tblPr>
      <w:tblGrid>
        <w:gridCol w:w="7206"/>
        <w:gridCol w:w="1211"/>
        <w:gridCol w:w="1573"/>
      </w:tblGrid>
      <w:tr w:rsidR="00F54DE6" w:rsidRPr="00D215F2" w:rsidTr="000B2098">
        <w:trPr>
          <w:trHeight w:val="1268"/>
        </w:trPr>
        <w:tc>
          <w:tcPr>
            <w:tcW w:w="8417" w:type="dxa"/>
            <w:gridSpan w:val="2"/>
            <w:shd w:val="clear" w:color="auto" w:fill="auto"/>
            <w:noWrap/>
            <w:vAlign w:val="bottom"/>
            <w:hideMark/>
          </w:tcPr>
          <w:p w:rsidR="00F54DE6" w:rsidRPr="00D215F2" w:rsidRDefault="00D215F2" w:rsidP="00D215F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hy-AM" w:eastAsia="ru-RU"/>
              </w:rPr>
            </w:pPr>
            <w:r w:rsidRPr="00D215F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hy-AM" w:eastAsia="ru-RU"/>
              </w:rPr>
              <w:t xml:space="preserve">Հավելված </w:t>
            </w:r>
            <w:r w:rsidRPr="00D215F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D215F2" w:rsidRPr="00D215F2" w:rsidRDefault="00D215F2" w:rsidP="000B20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hy-AM" w:eastAsia="ru-RU"/>
              </w:rPr>
            </w:pPr>
            <w:r w:rsidRPr="00D215F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hy-AM" w:eastAsia="ru-RU"/>
              </w:rPr>
              <w:t xml:space="preserve">Չարենցավան համայնքի ավագանու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hy-AM" w:eastAsia="ru-RU"/>
              </w:rPr>
              <w:br/>
            </w:r>
            <w:r w:rsidRPr="00D215F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hy-AM" w:eastAsia="ru-RU"/>
              </w:rPr>
              <w:t>2017 թվականի</w:t>
            </w:r>
            <w:r w:rsidR="000B2098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hy-AM" w:eastAsia="ru-RU"/>
              </w:rPr>
              <w:t xml:space="preserve"> հունվարի 31-ի </w:t>
            </w:r>
            <w:r w:rsidRPr="00D215F2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hy-AM" w:eastAsia="ru-RU"/>
              </w:rPr>
              <w:t>թիվ 8-Ն որոշման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F54DE6" w:rsidRPr="00D215F2" w:rsidRDefault="00F54DE6" w:rsidP="009D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 w:eastAsia="ru-RU"/>
              </w:rPr>
            </w:pPr>
            <w:r w:rsidRPr="00D215F2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</w:tr>
      <w:tr w:rsidR="00A73537" w:rsidRPr="00B36F99" w:rsidTr="000B2098">
        <w:trPr>
          <w:trHeight w:val="1268"/>
        </w:trPr>
        <w:tc>
          <w:tcPr>
            <w:tcW w:w="9990" w:type="dxa"/>
            <w:gridSpan w:val="3"/>
            <w:shd w:val="clear" w:color="auto" w:fill="auto"/>
            <w:noWrap/>
            <w:vAlign w:val="bottom"/>
          </w:tcPr>
          <w:p w:rsidR="00D215F2" w:rsidRDefault="00D215F2" w:rsidP="00D215F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</w:pPr>
          </w:p>
          <w:p w:rsidR="00D215F2" w:rsidRPr="00D215F2" w:rsidRDefault="00D215F2" w:rsidP="00D215F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 w:eastAsia="ru-RU"/>
              </w:rPr>
              <w:t xml:space="preserve">                                                                                                                                    </w:t>
            </w:r>
            <w:r w:rsidR="000B2098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 w:eastAsia="ru-RU"/>
              </w:rPr>
              <w:t>&lt;&lt;</w:t>
            </w:r>
            <w:r w:rsidRPr="00D215F2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 w:eastAsia="ru-RU"/>
              </w:rPr>
              <w:t>ՀԱՎԵԼՎԱԾ 1</w:t>
            </w:r>
          </w:p>
          <w:p w:rsidR="00D215F2" w:rsidRPr="00D215F2" w:rsidRDefault="00D215F2" w:rsidP="00D215F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 w:eastAsia="ru-RU"/>
              </w:rPr>
            </w:pPr>
          </w:p>
          <w:p w:rsidR="00A73537" w:rsidRDefault="00D215F2" w:rsidP="00D215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 w:eastAsia="ru-RU"/>
              </w:rPr>
            </w:pPr>
            <w:r w:rsidRPr="00D215F2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 w:eastAsia="ru-RU"/>
              </w:rPr>
              <w:t>ՉԱՐԵՆՑԱՎԱՆ ՀԱՄԱՅՆՔԻ ԱՎԱԳԱՆՈՒ 2016</w:t>
            </w:r>
            <w:r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D215F2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  <w:lang w:val="hy-AM" w:eastAsia="ru-RU"/>
              </w:rPr>
              <w:t>ԹՎԱԿԱՆԻ ԴԵԿՏԵՄԲԵՐԻ 26-Ի ԹԻՎ 66-Ն ՈՐՈՇՄԱՆ</w:t>
            </w:r>
          </w:p>
          <w:p w:rsidR="00D215F2" w:rsidRPr="00D215F2" w:rsidRDefault="00D215F2" w:rsidP="00D215F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215F2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br/>
              <w:t>ՉԱՐԵՆՑԱՎԱՆ ՀԱՄԱՅՆՔՈՒՄ 2017 ԹՎԱԿԱՆԻ ՏԵՂԱԿԱՆ ՏՈՒՐՔԵՐԻ ԵՎ ՎՃԱՐՆԵՐԻ ԴՐՈՒՅՔԱՉԱՓԵՐԸ ԵՎ ԱՂԲԱՀԱՆՈՒԹՅԱՆ ՏԵՂԱԿԱՆ ՎՃԱՐԻ ԴՐՈՒՅՔԱՉԱՓԸ ԸՍՏ ԽՄԲԵՐԻ ՍԱՀՄԱՆԵԼՈՒ ՄԱՍԻՆ</w:t>
            </w:r>
          </w:p>
          <w:p w:rsidR="00D215F2" w:rsidRPr="00D215F2" w:rsidRDefault="00D215F2" w:rsidP="00D21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hy-AM" w:eastAsia="ru-RU"/>
              </w:rPr>
            </w:pPr>
          </w:p>
        </w:tc>
      </w:tr>
      <w:tr w:rsidR="009D46B7" w:rsidRPr="00B36F99" w:rsidTr="000B2098">
        <w:trPr>
          <w:trHeight w:val="88"/>
        </w:trPr>
        <w:tc>
          <w:tcPr>
            <w:tcW w:w="7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D215F2" w:rsidRDefault="009D46B7" w:rsidP="009D46B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 w:eastAsia="ru-RU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D215F2" w:rsidRDefault="009D46B7" w:rsidP="009D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hy-AM" w:eastAsia="ru-RU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D215F2" w:rsidRDefault="009D46B7" w:rsidP="009D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hy-AM" w:eastAsia="ru-RU"/>
              </w:rPr>
            </w:pPr>
          </w:p>
        </w:tc>
      </w:tr>
      <w:tr w:rsidR="009D46B7" w:rsidRPr="009D46B7" w:rsidTr="000B2098">
        <w:trPr>
          <w:trHeight w:val="1268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9D46B7" w:rsidRDefault="009D46B7" w:rsidP="009D46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>Տուրքերի</w:t>
            </w:r>
            <w:proofErr w:type="spellEnd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>տեսակները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9D46B7" w:rsidRDefault="009D46B7" w:rsidP="009D46B7">
            <w:pPr>
              <w:spacing w:after="0" w:line="240" w:lineRule="auto"/>
              <w:ind w:left="-78" w:right="-58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>Օրենքով</w:t>
            </w:r>
            <w:proofErr w:type="spellEnd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>սահմանված</w:t>
            </w:r>
            <w:proofErr w:type="spellEnd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>դրույքաչափը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9D46B7" w:rsidRDefault="009D46B7" w:rsidP="009D46B7">
            <w:pPr>
              <w:spacing w:after="0" w:line="240" w:lineRule="auto"/>
              <w:ind w:left="-78" w:right="-58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>Առաջարկվող</w:t>
            </w:r>
            <w:proofErr w:type="spellEnd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46B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en-US" w:eastAsia="ru-RU"/>
              </w:rPr>
              <w:t>դրույքաչափը</w:t>
            </w:r>
            <w:proofErr w:type="spellEnd"/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1. Հայաստանի Հանրապետության համայնքներում սահմանվում են տեղական տուրքերի հետևյալ դրույքաչափերը.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197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1)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հիմնական շենքերի և շինությունների համար`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15000</w:t>
            </w: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սույն կետի «ա» ենթակետով չնախատեսված շենքերի և շինությունների համար`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- 200-ից մինչև 500 քառակուսի մետր ընդհանուր մակերես ունեցող շենքերի և շինությունների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- 500-ից մինչև 1000 քառակուսի մետր ընդհանուր մակերես ունեցող շենքերի և շինությունների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- 1000-ից մինչև 3000 քառակուսի մետր ընդհանուր մակերես ունեցող շենքերի և շինությունների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- 3000-ից և ավելի քառակուսի մետր ընդհանուր մակերես ունեցող շենքերի և շինությունների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</w:t>
            </w: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գ. ոչ հիմնական շենքերի և շինությունների համար`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մինչև 20 քառակուսի մետր ընդհանուր մակերես ունեցող շենքերի և շինությունների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 և ավելի քառակուսի մետր ընդհանուր մակերես ունեցող շենքերի և շինությունների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9D46B7" w:rsidRPr="009D46B7" w:rsidTr="000B2098">
        <w:trPr>
          <w:trHeight w:val="197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lastRenderedPageBreak/>
              <w:t>2) 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</w:t>
            </w:r>
          </w:p>
        </w:tc>
      </w:tr>
      <w:tr w:rsidR="009D46B7" w:rsidRPr="009D46B7" w:rsidTr="000B2098">
        <w:trPr>
          <w:trHeight w:val="355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հոդվածի 1-ին մասի 1-ին կետով սահմանված նորմերը և դրույքաչափերը` շենքերի և շինությունների ընդհանուր մակերեսի ավելացման կամ շենքերի գործառական նշանակության փոփոխության մասով,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197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գ.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սույն օրենքի իմաստով, այն համարվում է նոր շինարարություն, որի նկատմամբ կիրառվում են նոր շինարարության համար սույն հոդվածի 1-ին մասի 1-ին կետով սահմանված նորմերը և դրույքաչափերը.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3) 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4) համայնքի վարչական տարածքում հեղուկ վառելիքի, սեղմված բնական կամ հեղուկացված նավթային գազերի վաճառքի թույլտվության համար՝ օրացուցային տարվա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200000</w:t>
            </w:r>
          </w:p>
        </w:tc>
      </w:tr>
      <w:tr w:rsidR="009D46B7" w:rsidRPr="009D46B7" w:rsidTr="000B2098">
        <w:trPr>
          <w:trHeight w:val="197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5) Հայաստանի Հանրապետության կառավարության սահմանած ցանկում ընդգրկված սահմանամերձ և բարձրլեռնային համայնքների վարչական տարածքում, բացառությամբ միջպետական և հանրապետական նշանակության ավտոմոբիլային ճանապարհների կողեզրում՝ հեղուկ վառելիքի, սեղմված բնական կամ հեղուկացված նավթային գազերի վաճառքի թույլտվության համար՝ օրացուցային տարվա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197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6)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60000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60000</w:t>
            </w:r>
          </w:p>
        </w:tc>
      </w:tr>
      <w:tr w:rsidR="009D46B7" w:rsidRPr="009D46B7" w:rsidTr="000B2098">
        <w:trPr>
          <w:trHeight w:val="237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lastRenderedPageBreak/>
              <w:t>7) Հայաստանի Հանրապետության կառավարության սահմանած ցանկում ընդգրկված սահմանամերձ և բարձրլեռնային համայնքների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համար` քսան հազար դրամ.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8) համայնքի վարչական տարածքում թանկարժեք մետաղներից պատրաստված իրերի որոշակի վայրում մանրածախ առք ու վաճառք իրականացնելու թույլտվության </w:t>
            </w:r>
            <w:r w:rsidR="000739B8">
              <w:rPr>
                <w:rFonts w:ascii="Arial Unicode" w:eastAsia="Times New Roman" w:hAnsi="Arial Unicode" w:cs="Calibri"/>
                <w:color w:val="000000"/>
                <w:lang w:eastAsia="ru-RU"/>
              </w:rPr>
              <w:t>համար՝ օրացուցային տարվա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9) համայնքի վարչական տարածքում ոգելից և ալկոհոլային խմիչքների և (կամ) ծխախոտի արտադրանքի վաճառքի թույլտվության համար՝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մինչև 26 քառակուսի մետր ընդհանուր մակերես ունեցող հիմնական և ոչ հիմնական շինությունների ներսու</w:t>
            </w:r>
            <w:r w:rsidR="000739B8">
              <w:rPr>
                <w:rFonts w:ascii="Arial Unicode" w:eastAsia="Times New Roman" w:hAnsi="Arial Unicode" w:cs="Calibri"/>
                <w:color w:val="000000"/>
                <w:lang w:eastAsia="ru-RU"/>
              </w:rPr>
              <w:t>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0-10001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8000</w:t>
            </w: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10001-13001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10500</w:t>
            </w: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13001-20001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13500</w:t>
            </w: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20001-25001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20500</w:t>
            </w: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25001-45001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25500</w:t>
            </w: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- 500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45001-100001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ծխախոտի արտադրանքի վաճառքի թույլտվության համար՝ յուրաքանչյուր եռամսյակի համար՝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0739B8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մինչև 26 քառակուսի մետր ընդհանուր մակերես ունեցող հիմնական և ոչ հիմնական շինությունների ներսու</w:t>
            </w:r>
            <w:r>
              <w:rPr>
                <w:rFonts w:ascii="Arial Unicode" w:eastAsia="Times New Roman" w:hAnsi="Arial Unicode" w:cs="Calibri"/>
                <w:color w:val="000000"/>
                <w:lang w:eastAsia="ru-RU"/>
              </w:rPr>
              <w:t>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0-10001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8000</w:t>
            </w:r>
          </w:p>
        </w:tc>
      </w:tr>
      <w:tr w:rsidR="000739B8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10001-13001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10500</w:t>
            </w:r>
          </w:p>
        </w:tc>
      </w:tr>
      <w:tr w:rsidR="000739B8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13001-20001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13500</w:t>
            </w:r>
          </w:p>
        </w:tc>
      </w:tr>
      <w:tr w:rsidR="000739B8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lastRenderedPageBreak/>
              <w:t>- 100-ից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20001-25001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20500</w:t>
            </w:r>
          </w:p>
        </w:tc>
      </w:tr>
      <w:tr w:rsidR="000739B8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25001-45001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25500</w:t>
            </w:r>
          </w:p>
        </w:tc>
      </w:tr>
      <w:tr w:rsidR="000739B8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B8" w:rsidRPr="009D46B7" w:rsidRDefault="000739B8" w:rsidP="000739B8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- 500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ind w:left="-113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45001-100001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9B8" w:rsidRPr="009D46B7" w:rsidRDefault="000739B8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10) 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մեկ քառակուսի մետրի համար.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03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350</w:t>
            </w:r>
          </w:p>
        </w:tc>
      </w:tr>
      <w:tr w:rsidR="009D46B7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11) 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համար՝ օրացուցային տարվա համար՝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առևտրի օբյեկտների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5000-50000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հանրային սննդի և զվարճանքի օբյեկտների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25000-100000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գ. բաղնիքների (սաունաների)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200000-500000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200000</w:t>
            </w: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դ. խաղատների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500000-1000000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ե. շահումով խաղերի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250000-500000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250000</w:t>
            </w: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զ. վիճակախաղերի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100000-150000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</w:t>
            </w: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12) 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սահմանվում է`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հիմնական շինությունների ներսում՝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մինչև 26 քառակուսի մետր ընդհանուր մակերես ունեցող հանրային սննդի օբյեկտի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79514F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0-</w:t>
            </w:r>
            <w:r w:rsidR="001F390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- 26-ից մինչև 50 քառակուսի մետր ընդհանուր մակերես ունեցող հանրային սննդի օբյեկտի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-1000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79514F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6</w:t>
            </w:r>
            <w:r w:rsidR="001F390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- 50-ից մինչև 100 քառակուսի մետր ընդհանուր մակերես ունեցող հանրային սննդի օբյեկտի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-1500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- 100-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իցմինչև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200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քառակուսիմետրընդհանուրմակերես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ունեցող հանրային սննդի օբյեկտի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-2000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b/>
                <w:bCs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- 200-ից մինչև 500 քառակուսի մետր ընդհանուր մակերես ունեցող հանրային սննդի օբյեկտի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-3000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b/>
                <w:bCs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- 500 և ավելի քառակուսի մետր ընդհանուր մակերես ունեցող հանրային սննդի օբյեկտի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-5000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բ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.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ոչհիմնականշինություններիներսում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`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-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մինչև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26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քառակուսիմետրընդհանուրմակերեսունեցողհանրայինսննդի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օբյեկտի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0-100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- 26-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իցմինչև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50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քառակուսիմետրընդհանուրմակերեսունեցողհանրայինսննդիօբյեկտիհամար՝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-200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1F3903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- 50-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իցմինչև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100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քառակուսիմետրընդհանուրմակերեսունեցողհանրայինսննդի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օբյեկտի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-400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1F3903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4000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A55A3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- 100-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իցմինչև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 200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քառակուսիմետրընդհանուրմակերեսունեցողհանրայինսննդիօբյեկտիհամար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400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-800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8000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A55A3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- 200-ից մինչև 500 քառակուսի մետր ընդհանուր մակերես ունեցող հանրային սննդի օբյեկտի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800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-1500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A55A30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- 500 </w:t>
            </w:r>
            <w:r w:rsidRPr="009D46B7">
              <w:rPr>
                <w:rFonts w:ascii="Arial Unicode" w:eastAsia="Times New Roman" w:hAnsi="Arial Unicode" w:cs="Arial Unicode"/>
                <w:color w:val="000000"/>
                <w:lang w:eastAsia="ru-RU"/>
              </w:rPr>
              <w:t>ևավելիքառակուսիմետրընդհանուրմակերեսունեցողհանրայինսննդիօբյեկտիհամար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-2500</w:t>
            </w:r>
            <w:r w:rsidR="0079514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A55A30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782A4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13) քաղաքային բնակավայրերում ավագանու որոշմամբ սահմանված տնային կենդանիներ պահելու թույլտվության համար՝ օրացուցային տարվա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782A4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782A4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9D46B7" w:rsidRPr="009D46B7" w:rsidTr="000B2098">
        <w:trPr>
          <w:trHeight w:val="237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14) ավագանու սահմանած կարգին ու պայմաններին համապատասխան՝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ալկոհոլային սպիրտի պարունակությունը մինչև 20 ծավալային տոկոս արտադրանք գովազդող արտաքին գովազդի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թունդ ալկոհոլային (սպիրտի պարունակությունը 20 և ավելի ծավալային տոկոս) արտադրանք գովազդող արտաքին գովազդի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3500</w:t>
            </w: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գ. սոցիալական գովազդի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</w:t>
            </w: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դ. այլ արտաքին գովազդի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ե. 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375</w:t>
            </w: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զ. 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150</w:t>
            </w:r>
          </w:p>
        </w:tc>
      </w:tr>
      <w:tr w:rsidR="009D46B7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lastRenderedPageBreak/>
              <w:t>15) 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</w:t>
            </w: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16) 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</w:t>
            </w:r>
          </w:p>
        </w:tc>
      </w:tr>
      <w:tr w:rsidR="009D46B7" w:rsidRPr="009D46B7" w:rsidTr="000B2098">
        <w:trPr>
          <w:trHeight w:val="1185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 xml:space="preserve">17) 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4909FF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500000</w:t>
            </w:r>
            <w:r w:rsidR="004909FF" w:rsidRPr="004909F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>X</w:t>
            </w:r>
            <w:r w:rsidR="004909FF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 0.5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4909FF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</w:t>
            </w:r>
            <w:bookmarkStart w:id="0" w:name="_GoBack"/>
            <w:bookmarkEnd w:id="0"/>
            <w:r w:rsidR="002C663C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0000</w:t>
            </w: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18) համայնքի վարչական տարածքում մասնավոր գերեզմանատան կազմակերպման և շահագործման թույլտվության համար՝ օրացուցային տարվա համար՝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9D46B7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9D46B7" w:rsidRPr="009D46B7" w:rsidTr="000B2098">
        <w:trPr>
          <w:trHeight w:val="79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ա. 3 հա-ից մինչև 5 հա մակերես ունեցող գերեզմանատ</w:t>
            </w:r>
            <w:r w:rsidR="002C663C">
              <w:rPr>
                <w:rFonts w:ascii="Arial Unicode" w:eastAsia="Times New Roman" w:hAnsi="Arial Unicode" w:cs="Calibri"/>
                <w:color w:val="000000"/>
                <w:lang w:eastAsia="ru-RU"/>
              </w:rPr>
              <w:t>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2500000</w:t>
            </w: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բ. 5 հա-ից մինչև 7 հա մակերես ունեցող գերեզմանատների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5000000</w:t>
            </w: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գ. 7 հա-ից մինչև 10 հա մակերես ունեցող գերեզմանատների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7000000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7000000</w:t>
            </w:r>
          </w:p>
        </w:tc>
      </w:tr>
      <w:tr w:rsidR="009D46B7" w:rsidRPr="009D46B7" w:rsidTr="000B2098">
        <w:trPr>
          <w:trHeight w:val="416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B7" w:rsidRPr="009D46B7" w:rsidRDefault="009D46B7" w:rsidP="002C663C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9D46B7">
              <w:rPr>
                <w:rFonts w:ascii="Arial Unicode" w:eastAsia="Times New Roman" w:hAnsi="Arial Unicode" w:cs="Calibri"/>
                <w:color w:val="000000"/>
                <w:lang w:eastAsia="ru-RU"/>
              </w:rPr>
              <w:t>դ. 10 հա-ից ավել մակերես ունեցող գերեզմանատների համար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B7" w:rsidRPr="009D46B7" w:rsidRDefault="002C663C" w:rsidP="00F9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10000000</w:t>
            </w:r>
          </w:p>
        </w:tc>
      </w:tr>
      <w:tr w:rsidR="009D46B7" w:rsidRPr="009D46B7" w:rsidTr="000B2098">
        <w:trPr>
          <w:trHeight w:val="1138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B7" w:rsidRPr="009D46B7" w:rsidRDefault="00F72C66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554FAA">
              <w:rPr>
                <w:rFonts w:ascii="GHEA Grapalat" w:hAnsi="GHEA Grapalat" w:cs="Sylfaen"/>
                <w:sz w:val="20"/>
                <w:szCs w:val="20"/>
              </w:rPr>
              <w:t>Ամուսանցող անձանց ցանկությամբ ամուսնության պետական գրանցում քաղաքացիական կացության ակտերի գրանցման մարմնի աշխատավայրից դուրս ընթացիկ տարվա համար  սահմանվում է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9D46B7" w:rsidRDefault="00F72C66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9D46B7" w:rsidRDefault="00F72C66" w:rsidP="0079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50000</w:t>
            </w:r>
          </w:p>
        </w:tc>
      </w:tr>
      <w:tr w:rsidR="00B86E4C" w:rsidRPr="009D46B7" w:rsidTr="000B2098">
        <w:trPr>
          <w:trHeight w:val="513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4C" w:rsidRPr="009D46B7" w:rsidRDefault="00B86E4C" w:rsidP="00B86E4C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554FAA">
              <w:rPr>
                <w:rFonts w:ascii="GHEA Grapalat" w:hAnsi="GHEA Grapalat" w:cs="Sylfaen"/>
                <w:b/>
                <w:i/>
                <w:sz w:val="20"/>
                <w:szCs w:val="20"/>
              </w:rPr>
              <w:t>Տեղական վճարների տեսակները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4C" w:rsidRPr="009D46B7" w:rsidRDefault="00B86E4C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4C" w:rsidRPr="009D46B7" w:rsidRDefault="00B86E4C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93588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88" w:rsidRPr="009D46B7" w:rsidRDefault="00D77445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1)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9D46B7" w:rsidRDefault="00F93588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D77445" w:rsidRDefault="00D77445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F93588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88" w:rsidRPr="009D46B7" w:rsidRDefault="00F72C66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2) 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9D46B7" w:rsidRDefault="00F93588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F72C66" w:rsidRDefault="00F72C66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F93588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88" w:rsidRPr="009D46B7" w:rsidRDefault="00F72C66" w:rsidP="009D46B7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վճար.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9D46B7" w:rsidRDefault="00F93588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F72C66" w:rsidRDefault="00F72C66" w:rsidP="009D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F72C66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66" w:rsidRPr="009D46B7" w:rsidRDefault="00F72C66" w:rsidP="00F72C6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4) համայնքի տնօրինության և օգտագործման ներքո գտնվող հողերը հատկացնելու, հետ վերցնելու և վարձակալության տրամադրելու դեպքերում փաստաթղթերի (փաթեթի) նախապատրաստման համար` համայնքի մատուցած ծառայությունների դիմաց փոխհատուցման վճար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9D46B7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D77445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F72C66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66" w:rsidRPr="009D46B7" w:rsidRDefault="00F72C66" w:rsidP="00F72C66">
            <w:pPr>
              <w:spacing w:after="0" w:line="240" w:lineRule="auto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lastRenderedPageBreak/>
              <w:t>5) համայնքի կողմից կազմակերպվող մրցույթների և աճուրդների մասնակցության համար՝ համայնքի մատուցած ծառայությունների դիմաց փոխհատուցման վճար.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9D46B7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D77445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5000</w:t>
            </w:r>
          </w:p>
        </w:tc>
      </w:tr>
      <w:tr w:rsidR="00F72C66" w:rsidRPr="009D46B7" w:rsidTr="000B2098">
        <w:trPr>
          <w:trHeight w:val="1580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66" w:rsidRPr="00A73537" w:rsidRDefault="00B36F99" w:rsidP="00F72C66">
            <w:pPr>
              <w:spacing w:after="0" w:line="240" w:lineRule="auto"/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B36F99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9</w:t>
            </w:r>
            <w:r w:rsidR="00A73537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) համայնքի արխիվից փաստաթղթերի պատճեններ տրամադրելու համար՝ մեկ փաստաթղթի համար՝ մինչև հազար դրամ փոխհատուցման վճար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9D46B7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A73537" w:rsidRDefault="00A73537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</w:tr>
      <w:tr w:rsidR="00F72C66" w:rsidRPr="009D46B7" w:rsidTr="000B2098">
        <w:trPr>
          <w:trHeight w:val="1001"/>
        </w:trPr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66" w:rsidRPr="009D46B7" w:rsidRDefault="00F72C66" w:rsidP="00F72C66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  <w:lang w:eastAsia="ru-RU"/>
              </w:rPr>
            </w:pPr>
            <w:r w:rsidRPr="008823B9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Աղբահանության վճար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9D46B7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9D46B7" w:rsidRDefault="00F72C66" w:rsidP="00F72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72C66" w:rsidRPr="009D46B7" w:rsidTr="000B2098">
        <w:trPr>
          <w:trHeight w:val="591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6" w:rsidRPr="008823B9" w:rsidRDefault="00F72C66" w:rsidP="00F72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8823B9">
              <w:rPr>
                <w:rFonts w:ascii="GHEA Grapalat" w:hAnsi="GHEA Grapalat" w:cs="Sylfaen"/>
                <w:sz w:val="20"/>
                <w:szCs w:val="20"/>
              </w:rPr>
              <w:t>ֆիզիկական անձանց համար /փաստացի բնակվող/</w:t>
            </w:r>
            <w:r>
              <w:rPr>
                <w:rFonts w:ascii="GHEA Grapalat" w:hAnsi="GHEA Grapalat" w:cs="Sylfaen"/>
                <w:sz w:val="20"/>
                <w:szCs w:val="20"/>
              </w:rPr>
              <w:t>` 1 շնչի համար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2C66" w:rsidRPr="00B86E4C" w:rsidRDefault="00F72C66" w:rsidP="00F72C6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0-</w:t>
            </w:r>
            <w:r w:rsidRPr="008823B9">
              <w:rPr>
                <w:rFonts w:ascii="GHEA Grapalat" w:hAnsi="GHEA Grapalat" w:cs="Sylfaen"/>
                <w:b/>
                <w:sz w:val="20"/>
                <w:szCs w:val="20"/>
              </w:rPr>
              <w:t>4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2C66" w:rsidRPr="00B86E4C" w:rsidRDefault="00F72C66" w:rsidP="00F72C6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F72C66" w:rsidRPr="009D46B7" w:rsidTr="000B2098">
        <w:trPr>
          <w:trHeight w:val="776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6" w:rsidRPr="008823B9" w:rsidRDefault="00F72C66" w:rsidP="00F72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8823B9">
              <w:rPr>
                <w:rFonts w:ascii="GHEA Grapalat" w:hAnsi="GHEA Grapalat" w:cs="Sylfaen"/>
                <w:sz w:val="20"/>
                <w:szCs w:val="20"/>
              </w:rPr>
              <w:t>Իրավաբանական անձանց համար /կցվում է հաշվարկի հավելվածը/</w:t>
            </w:r>
            <w:r>
              <w:rPr>
                <w:rFonts w:ascii="GHEA Grapalat" w:hAnsi="GHEA Grapalat" w:cs="Sylfaen"/>
                <w:sz w:val="20"/>
                <w:szCs w:val="20"/>
              </w:rPr>
              <w:t>` 1 խմ-ի համար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2C66" w:rsidRPr="008823B9" w:rsidRDefault="00F72C66" w:rsidP="00F72C6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0-3000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2C66" w:rsidRPr="00B86E4C" w:rsidRDefault="00F72C66" w:rsidP="00F72C6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3000</w:t>
            </w:r>
          </w:p>
        </w:tc>
      </w:tr>
      <w:tr w:rsidR="00F72C66" w:rsidRPr="000B2098" w:rsidTr="000B2098">
        <w:trPr>
          <w:trHeight w:val="572"/>
        </w:trPr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6" w:rsidRPr="008823B9" w:rsidRDefault="00F72C66" w:rsidP="00F72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8823B9">
              <w:rPr>
                <w:rFonts w:ascii="GHEA Grapalat" w:hAnsi="GHEA Grapalat" w:cs="Sylfaen"/>
                <w:sz w:val="20"/>
                <w:szCs w:val="20"/>
              </w:rPr>
              <w:t>Կոշտ հավելվածքի հեռացման համար</w:t>
            </w:r>
            <w:r>
              <w:rPr>
                <w:rFonts w:ascii="GHEA Grapalat" w:hAnsi="GHEA Grapalat" w:cs="Sylfaen"/>
                <w:sz w:val="20"/>
                <w:szCs w:val="20"/>
              </w:rPr>
              <w:t>` 1 տն-ի համար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2C66" w:rsidRPr="008823B9" w:rsidRDefault="00F72C66" w:rsidP="00F72C6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0-10000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2C66" w:rsidRPr="008823B9" w:rsidRDefault="00F72C66" w:rsidP="00F72C6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6000</w:t>
            </w:r>
          </w:p>
        </w:tc>
      </w:tr>
    </w:tbl>
    <w:p w:rsidR="002F458A" w:rsidRPr="000B2098" w:rsidRDefault="002F458A">
      <w:pPr>
        <w:rPr>
          <w:rFonts w:ascii="GHEA Grapalat" w:hAnsi="GHEA Grapalat"/>
          <w:lang w:val="en-US"/>
        </w:rPr>
      </w:pPr>
    </w:p>
    <w:sectPr w:rsidR="002F458A" w:rsidRPr="000B2098" w:rsidSect="009D46B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A8F"/>
    <w:multiLevelType w:val="hybridMultilevel"/>
    <w:tmpl w:val="B322C008"/>
    <w:lvl w:ilvl="0" w:tplc="BC1C2ABC">
      <w:start w:val="1"/>
      <w:numFmt w:val="decimal"/>
      <w:lvlText w:val="%1)"/>
      <w:lvlJc w:val="left"/>
      <w:pPr>
        <w:ind w:left="720" w:hanging="360"/>
      </w:pPr>
      <w:rPr>
        <w:rFonts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79EB"/>
    <w:multiLevelType w:val="hybridMultilevel"/>
    <w:tmpl w:val="41420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3F1D"/>
    <w:rsid w:val="000739B8"/>
    <w:rsid w:val="000B2098"/>
    <w:rsid w:val="001F3903"/>
    <w:rsid w:val="0027672C"/>
    <w:rsid w:val="002A3359"/>
    <w:rsid w:val="002C663C"/>
    <w:rsid w:val="002F458A"/>
    <w:rsid w:val="004909FF"/>
    <w:rsid w:val="007569D8"/>
    <w:rsid w:val="00782A47"/>
    <w:rsid w:val="0079514F"/>
    <w:rsid w:val="009D46B7"/>
    <w:rsid w:val="009F3F1D"/>
    <w:rsid w:val="00A13005"/>
    <w:rsid w:val="00A55A30"/>
    <w:rsid w:val="00A73537"/>
    <w:rsid w:val="00B36F99"/>
    <w:rsid w:val="00B86E4C"/>
    <w:rsid w:val="00D215F2"/>
    <w:rsid w:val="00D77445"/>
    <w:rsid w:val="00EA1C82"/>
    <w:rsid w:val="00F54DE6"/>
    <w:rsid w:val="00F72C66"/>
    <w:rsid w:val="00F9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46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D46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D46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D46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D46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</dc:creator>
  <cp:keywords/>
  <dc:description/>
  <cp:lastModifiedBy>Astghik</cp:lastModifiedBy>
  <cp:revision>17</cp:revision>
  <cp:lastPrinted>2017-01-31T05:47:00Z</cp:lastPrinted>
  <dcterms:created xsi:type="dcterms:W3CDTF">2017-01-27T08:52:00Z</dcterms:created>
  <dcterms:modified xsi:type="dcterms:W3CDTF">2017-02-03T08:28:00Z</dcterms:modified>
</cp:coreProperties>
</file>